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3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восемь месяцев 2021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015615" cy="33623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восемь месяцев 2021 г. зарегистрировано 246 </w:t>
        <w:br/>
        <w:t xml:space="preserve">(197; +25 %) ДТП с участием несовершеннолетних, в которых 260 </w:t>
        <w:br/>
        <w:t>(221; +17,6%) детей получили травмы различной степени тяжести и 17 (2; +750%) погибли.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в Екатеринбурге и Каменске-Уральском по 3 (+100%), Ивделе, Серове и Заречном по 2 (+100%), Первоуральске и Реже по 1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</w:t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23.03. 2021 года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color w:val="000000" w:themeColor="text1"/>
          <w:sz w:val="26"/>
          <w:szCs w:val="26"/>
          <w:shd w:fill="FFFFFF" w:val="clear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23.05.2021 около 20.00 часов по адресу: Серовский городской округ, </w:t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fill="FFFFFF" w:val="clear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12.06.2021 около 11.30 часов в Ивдельском районе на 136 км автодороги Ивдель-ХМАО </w:t>
      </w:r>
      <w:r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водитель автомобиля «Ниссан Кашкай» по неустановленной причине </w:t>
      </w:r>
      <w:r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03.07.2021 около 19.00 часов в Первоуральском районе на </w:t>
      </w:r>
      <w:r>
        <w:rPr>
          <w:i/>
          <w:sz w:val="26"/>
          <w:szCs w:val="26"/>
        </w:rPr>
        <w:t>8 км подъездной автодороги к озеру Глухое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нетрезвый и ранее лишенный права управления </w:t>
      </w:r>
      <w:r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04.08.2021 около 20.00 часов по адресу: Белоярский район, поселок Белореченский,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Отец мальчика во время перехода дороги держал ребенка за руку, автомобиль не заметил, так как он выехал из-за поворота.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Водитель дать какие-либо пояснения по факту ДТП не смог из-за сильнейшего опьянения.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18.08.2021 около 21.00 часов по адресу: г. Каменск-Уральский, ул. Пушкина, напротив дома №1, водитель автомобиля «</w:t>
      </w:r>
      <w:r>
        <w:rPr>
          <w:i/>
          <w:sz w:val="26"/>
          <w:szCs w:val="26"/>
          <w:shd w:fill="FFFFFF" w:val="clear"/>
          <w:lang w:val="en-US"/>
        </w:rPr>
        <w:t>Mazda</w:t>
      </w:r>
      <w:r>
        <w:rPr>
          <w:i/>
          <w:sz w:val="26"/>
          <w:szCs w:val="26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  <w:lang w:val="en-US"/>
        </w:rPr>
        <w:t>CX</w:t>
      </w:r>
      <w:r>
        <w:rPr>
          <w:i/>
          <w:sz w:val="26"/>
          <w:szCs w:val="26"/>
          <w:shd w:fill="FFFFFF" w:val="clear"/>
        </w:rPr>
        <w:t xml:space="preserve">-5» допустил наезд на двух пешеходов, </w:t>
      </w:r>
      <w:r>
        <w:rPr>
          <w:i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помощи. 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 </w:t>
      </w:r>
      <w:r>
        <w:rPr>
          <w:i/>
          <w:sz w:val="26"/>
          <w:szCs w:val="26"/>
          <w:shd w:fill="FFFFFF" w:val="clear"/>
        </w:rPr>
        <w:t>В момент ДТП световозвращающих элементов на пешеходах не было.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17 муниципальных образованиях Свердловской области отмечается рост аварийности с участием несовершеннолетних. На 200% увеличилось количество ДТП в Краснотурьинске (9 ДТП) и Верхней Салде (3 ДТП); на 117% в Каменске-Уральском (13 ДТП); на 100% в Серове (6 ДТП), Туринске (5 ДТП), Артях и Лесном (по 4 ДТП), Байкалово, Красноуральске, Кушве, Ревде и Североуральске (по 2 ДТП); на 96,5 % в Екатеринбурге (98 ДТП); на 50% в Березовском (6 ДТП), на 33% в Красноуфимске (4 ДТП), на 17% в Первоуральске (7 ДТП).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275272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40% (106) пострадавших и погибших в ДТП детей приходится на среднее школьное звено, 39% (105) на начальную школу и 21% (66) на дошкольный возраст, при этом большая часть пострадали и погибли в качестве пассажиров транспортных средств.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48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55 детей и 8 погибли.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19% (183), количество раненых в них детей на 12% (199) и погибших на 600% (14).</w:t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76% ДТП (187) произошли при ясной погоде и 24% (59)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80% (195) происшествий с участием несовершеннолетних произошли </w:t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17 до 19 ч. 00 мин. (62 ДТП, 59 ранены, </w:t>
        <w:br/>
        <w:t>5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19431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62625" cy="2057400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204 ДТП (+40%), в которых пострадали 213 (+35%) детей </w:t>
        <w:br/>
        <w:t xml:space="preserve">и 8 погибли (+700%). Увеличение количества ДТП в населенных пунктах произошло в </w:t>
      </w:r>
      <w:r>
        <w:rPr>
          <w:sz w:val="28"/>
          <w:szCs w:val="28"/>
        </w:rPr>
        <w:t xml:space="preserve">Екатеринбурге – 106 (+86%); Каменске-Уральском – 10 (+100%); в Березовском </w:t>
        <w:br/>
        <w:t xml:space="preserve">-5 (+150%), Краснотурьинске – 5 (+400%), Серове – 5 (+67%), Туринске - 5 (+100%); </w:t>
        <w:br/>
        <w:t xml:space="preserve">в Лесном 4 (+100%); в Артях -3 (+50%), Верхней Салде и  Пригородном районе (Нижний Тагил) по 3 (+200%); в Заречном, Каменском районе, Кушве, Слободо-Туринском районе по 2 (+100%); в  Артемовском и Красноуфимском районах по 1 (+100%). На автомобильных дорогах вне населенных пунктов зарегистрировано 42 ДТП (-17,6%), травмированы 47 (-25%) детей и 9 погибли (+800%). Из них, на дорогах федерального значения зарегистрировано 11 ДТП (-27%), в которых пострадали 15 детей (-28%) и 2 погибли (+100%). На автомобильных дорогах регионального значения произошло 41 ДТП (-5%), в которых 41 (-16%) ребенок получили травмы различной степени тяжести и 9 погибли (+800%). На дорогах местного значения зарегистрировано </w:t>
        <w:br/>
        <w:t>164 ДТП (+ 39%), в которых травмированы 174 (+38%) ребенка и 6 погибли (+500%).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76925" cy="203073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3175" distL="114300" distR="114300" simplePos="0" locked="0" layoutInCell="1" allowOverlap="1" relativeHeight="3">
            <wp:simplePos x="0" y="0"/>
            <wp:positionH relativeFrom="column">
              <wp:posOffset>-414655</wp:posOffset>
            </wp:positionH>
            <wp:positionV relativeFrom="paragraph">
              <wp:posOffset>199390</wp:posOffset>
            </wp:positionV>
            <wp:extent cx="1657350" cy="1711325"/>
            <wp:effectExtent l="0" t="0" r="0" b="0"/>
            <wp:wrapSquare wrapText="bothSides"/>
            <wp:docPr id="10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7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color w:val="000000" w:themeColor="text1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104 (105; -1%) ДТП, в которых пострадали 119 (122; -2,5%) детей и 11 (1; +1000%) погибли. Из них в возрасте до 12 лет травмированы 89 детей (-1%) и 10 погибли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42%.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573530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13 случаях ДТП водители перевозили юных пассажиров в возрасте до 12 лет с нарушением правил перевозки детей, в этих авариях травмированы 13 несовершеннолетних (11; +30%) и 4 погибли (0; +100%): Екатеринбург 2 ДТП; Заречный, Ивдель, Каменский район, Нижний Тагил, Новая Ляля, Первоуральск, Ревда, Реж, Североуральск, Серов, Тавда по – 1 ДТП. Троих детей перевозили в детских удерживающих устройствах, не соответствующих росту и весу юных пассажиров, еще десять - без детских удерживающих устройств и не пристегнутыми ремнями безопасности. При этом в 9 случаях нарушения перевозки детей допустили отцы.</w:t>
      </w:r>
    </w:p>
    <w:p>
      <w:pPr>
        <w:pStyle w:val="Normal"/>
        <w:ind w:left="-709" w:firstLine="425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169481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(54) и слева (42).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(90; +11%), количество травмированных в них детей увеличилось на 6% (103), погибших на 100% (11).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Устойчивый рост количества ДТП с участием детей-пассажиров зарегистрирован с 10.00 до 21.00 (86 ДТП, 103 ранены и 9 погибли), с максимальными значениями аварийности в период с 17.00 до 21.00 (42 ДТП, 45 ранены, 5 погибли) и с 09.00 до 13.00 (27 ДТП, 32 ранены, 5 погибли).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Большинство аварий произошло в субботу (21 ДТП, 26 ранены, 3 погибли) и воскресенье (21 ДТП, 25 ранены, 5 погибли).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113 ДТП (70; +61,4%), в которых пострадали 113 (76; +51%) детей</w:t>
        <w:br/>
        <w:t>и 5 погибли (1; +400%). От общего показателя аварийности с участием несовершеннолетних доля ДТП с участием детей- пешеходов составила 45%.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51% (53) увеличилось количество ДТП по собственной неосторожности несовершеннолетних пешеходов, в которых пострадал 51 ребенок (+46%) и 3 погибли (+100%).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Каждый второй наезд на ребенка (45 ДТП) совершен на пешеходном переходе. В таких происшествиях травмированы 46 юных пешеходов (+53%) и 1 погиб (уровень АППГ). </w:t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00395" cy="152400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28,6% (9) увеличилось количество происшествий с детьми-пешеходами </w:t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Участниками каждого второго происшествия (63) стали дети-пешеходы в возрасте 8-9 лет (+185%) и 11-12 лет (+300%). Все наезды произошли в городах и населенных пунктах. Наибольшие показатели количества ДТП с участием детей-пешеходов зафиксированы во вторник (22 ДТП; +10%) и пятницу (22 ДТП; +100%), при этом 2 ребенка погибли в среду (+100%), во вторник, четверг и субботу по 1 (+100%). Наименьшее количество наездов зарегистрированы в воскресенье (9 ДТП).  По времени совершения самым опасным является с 15 до 20 часов, в это время произошло 70% ДТП с участием юных пешеходов (80 ДТП, 80 ранены и 5 погибли), при этом максимальные значения зарегистрированы в период с 17 до 18 часов (21 ДТП, 1 погиб). Минимальное количество ДТП по времени совершения произошло в период с 09 до 10 часов (1 ДТП) и с 11 до 12 часов (2 ДТП).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31 случае ДТП (27%)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теристикам семей, каждый четвертый ребенок-пешеход, попавший в ДТП, воспитывается в неполной семье и воспитанием занимается только один родитель. В девяти случаях ДТП произошли с детьми из многодетных семей, когда ребенок находился в сопровождении братьев, либо сестер. В 25 случаях ДТП с детьми, родители которых не имеют постоянное место работы, </w:t>
        <w:br/>
        <w:t>в 8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26 ДТП (+62,5%), в результате которых пострадали 26 детей (+62,5%), из них 12 (уровень АППГ)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>
        <w:rPr>
          <w:sz w:val="28"/>
          <w:szCs w:val="28"/>
        </w:rPr>
        <w:t>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(7; + 133%) и субботу (6; +200%). По времени совершения самым опасным является с 17 до 19 часов (13).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>
        <w:rPr>
          <w:color w:val="000000" w:themeColor="text1"/>
          <w:sz w:val="28"/>
          <w:szCs w:val="28"/>
        </w:rPr>
        <w:t xml:space="preserve"> зарегистрировано 3 ДТП </w:t>
        <w:br/>
        <w:t xml:space="preserve"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1323975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Вина несовершеннолетних </w:t>
      </w:r>
      <w:r>
        <w:rPr>
          <w:color w:val="000000" w:themeColor="text1"/>
          <w:sz w:val="28"/>
          <w:szCs w:val="28"/>
        </w:rPr>
        <w:t xml:space="preserve">усматривается в 68 ДТП из 246 и составляет 28% от общего количества дорожных аварий с участием детей: Екатеринбург 34 </w:t>
        <w:br/>
        <w:t xml:space="preserve">(1 погиб; +79%); Краснотурьинск 4 (+100%); Арти (+200%), Каменск-Уральский  </w:t>
        <w:br/>
        <w:t xml:space="preserve">(1 погиб), Заречный по 3 (+100%); Нижний Тагил 3 (-50%); Байкалово, Березовский, Первоуральск, Реж (1 погиб) и Туринск по 2 (+100%); Верхняя Салда, Нижние Серги, Талица, Тугулым по 1 (+100%);  Богданович, Сысерть по 1 (уровень АППГ); Серов </w:t>
        <w:br/>
        <w:t>(1 погиб), Красноуфимск по 1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(29), неожиданный выход на проезжую часть из-за стоящего транспортного средства, сооружений или деревьев (14), неподчинение сигналам регулирования (5) и нахождение на проезжей части без цели перехода (2), иные нарушения ПДД пешеходами (3); детьми-велосипедистами – пересечение проезжей части дороги по пешеходному переходу, не спешившись (5); не предоставление преимущества в движении при выезде с прилегающей территории, второстепенной дороги (10).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00725" cy="26098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i/>
          <w:i/>
          <w:sz w:val="28"/>
          <w:szCs w:val="28"/>
        </w:rPr>
      </w:pPr>
      <w:r>
        <w:rPr/>
      </w:r>
    </w:p>
    <w:sectPr>
      <w:headerReference w:type="default" r:id="rId18"/>
      <w:type w:val="nextPage"/>
      <w:pgSz w:w="11906" w:h="16838"/>
      <w:pgMar w:left="1701" w:right="566" w:header="708" w:top="85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22537093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chart" Target="charts/chart13.xml"/><Relationship Id="rId17" Type="http://schemas.openxmlformats.org/officeDocument/2006/relationships/chart" Target="charts/chart14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197</c:v>
                </c:pt>
                <c:pt idx="1">
                  <c:v>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246</c:v>
                </c:pt>
                <c:pt idx="1">
                  <c:v>17</c:v>
                </c:pt>
                <c:pt idx="2">
                  <c:v>260</c:v>
                </c:pt>
              </c:numCache>
            </c:numRef>
          </c:val>
        </c:ser>
        <c:gapWidth val="150"/>
        <c:shape val="box"/>
        <c:axId val="10649533"/>
        <c:axId val="50175479"/>
        <c:axId val="0"/>
      </c:bar3DChart>
      <c:catAx>
        <c:axId val="1064953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0175479"/>
        <c:crosses val="autoZero"/>
        <c:auto val="1"/>
        <c:lblAlgn val="ctr"/>
        <c:lblOffset val="100"/>
      </c:catAx>
      <c:valAx>
        <c:axId val="5017547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0649533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17</c:v>
                </c:pt>
                <c:pt idx="1">
                  <c:v>113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54</c:v>
                </c:pt>
                <c:pt idx="1">
                  <c:v>42</c:v>
                </c:pt>
                <c:pt idx="2">
                  <c:v>8</c:v>
                </c:pt>
                <c:pt idx="3">
                  <c:v>19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104</c:v>
                </c:pt>
                <c:pt idx="1">
                  <c:v>113</c:v>
                </c:pt>
                <c:pt idx="2">
                  <c:v>26</c:v>
                </c:pt>
                <c:pt idx="3">
                  <c:v>3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19"/>
                <c:pt idx="0">
                  <c:v>Красноуфимск</c:v>
                </c:pt>
                <c:pt idx="1">
                  <c:v>Тугулым</c:v>
                </c:pt>
                <c:pt idx="2">
                  <c:v>Талица</c:v>
                </c:pt>
                <c:pt idx="3">
                  <c:v>Сысерть</c:v>
                </c:pt>
                <c:pt idx="4">
                  <c:v>Серов</c:v>
                </c:pt>
                <c:pt idx="5">
                  <c:v>Нижние Серги</c:v>
                </c:pt>
                <c:pt idx="6">
                  <c:v>Верхняя Салда</c:v>
                </c:pt>
                <c:pt idx="7">
                  <c:v>Богданович</c:v>
                </c:pt>
                <c:pt idx="8">
                  <c:v>Туринск</c:v>
                </c:pt>
                <c:pt idx="9">
                  <c:v>Реж</c:v>
                </c:pt>
                <c:pt idx="10">
                  <c:v>Первоуральск</c:v>
                </c:pt>
                <c:pt idx="11">
                  <c:v>Березовский</c:v>
                </c:pt>
                <c:pt idx="12">
                  <c:v>Байкалово</c:v>
                </c:pt>
                <c:pt idx="13">
                  <c:v>Заречный</c:v>
                </c:pt>
                <c:pt idx="14">
                  <c:v>Арти</c:v>
                </c:pt>
                <c:pt idx="15">
                  <c:v>Нижний Тагил</c:v>
                </c:pt>
                <c:pt idx="16">
                  <c:v>Каменск-Уральский</c:v>
                </c:pt>
                <c:pt idx="17">
                  <c:v>Краснотурьинск</c:v>
                </c:pt>
                <c:pt idx="18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34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6</c:v>
                </c:pt>
                <c:pt idx="14">
                  <c:v>3</c:v>
                </c:pt>
                <c:pt idx="15">
                  <c:v>6</c:v>
                </c:pt>
                <c:pt idx="16">
                  <c:v>57</c:v>
                </c:pt>
              </c:numCache>
            </c:numRef>
          </c:val>
        </c:ser>
        <c:gapWidth val="100"/>
        <c:overlap val="0"/>
        <c:axId val="28886517"/>
        <c:axId val="6418338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28440">
              <a:solidFill>
                <a:srgbClr val="ffc000"/>
              </a:solidFill>
              <a:round/>
            </a:ln>
          </c:spPr>
          <c:marker>
            <c:symbol val="none"/>
          </c:marker>
          <c:dLbls>
            <c:numFmt formatCode="General" sourceLinked="1"/>
            <c:dLblPos val="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13</c:v>
                </c:pt>
                <c:pt idx="16">
                  <c:v>112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91509165"/>
        <c:axId val="10300615"/>
      </c:lineChart>
      <c:catAx>
        <c:axId val="28886517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418338"/>
        <c:crosses val="autoZero"/>
        <c:auto val="1"/>
        <c:lblAlgn val="ctr"/>
        <c:lblOffset val="100"/>
      </c:catAx>
      <c:valAx>
        <c:axId val="641833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886517"/>
        <c:crosses val="autoZero"/>
      </c:valAx>
      <c:catAx>
        <c:axId val="91509165"/>
        <c:scaling>
          <c:orientation val="minMax"/>
        </c:scaling>
        <c:delete val="1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0300615"/>
        <c:crosses val="autoZero"/>
        <c:auto val="1"/>
        <c:lblAlgn val="ctr"/>
        <c:lblOffset val="100"/>
      </c:catAx>
      <c:valAx>
        <c:axId val="10300615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150916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66</c:v>
                </c:pt>
                <c:pt idx="1">
                  <c:v>105</c:v>
                </c:pt>
                <c:pt idx="2">
                  <c:v>106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164</c:v>
                </c:pt>
                <c:pt idx="1">
                  <c:v>113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187</c:v>
                </c:pt>
                <c:pt idx="1">
                  <c:v>48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192</c:v>
                </c:pt>
                <c:pt idx="1">
                  <c:v>55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87349127"/>
        <c:axId val="32441431"/>
      </c:barChart>
      <c:catAx>
        <c:axId val="87349127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2441431"/>
        <c:crosses val="autoZero"/>
        <c:auto val="1"/>
        <c:lblAlgn val="ctr"/>
        <c:lblOffset val="100"/>
      </c:catAx>
      <c:valAx>
        <c:axId val="3244143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34912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</c:v>
                </c:pt>
                <c:pt idx="1">
                  <c:v>18</c:v>
                </c:pt>
                <c:pt idx="2">
                  <c:v>21</c:v>
                </c:pt>
                <c:pt idx="3">
                  <c:v>38</c:v>
                </c:pt>
                <c:pt idx="4">
                  <c:v>79</c:v>
                </c:pt>
                <c:pt idx="5">
                  <c:v>66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</c:v>
                </c:pt>
                <c:pt idx="1">
                  <c:v>18</c:v>
                </c:pt>
                <c:pt idx="2">
                  <c:v>21</c:v>
                </c:pt>
                <c:pt idx="3">
                  <c:v>48</c:v>
                </c:pt>
                <c:pt idx="4">
                  <c:v>81</c:v>
                </c:pt>
                <c:pt idx="5">
                  <c:v>68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44563053"/>
        <c:axId val="32274477"/>
      </c:barChart>
      <c:catAx>
        <c:axId val="4456305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2274477"/>
        <c:crosses val="autoZero"/>
        <c:auto val="1"/>
        <c:lblAlgn val="ctr"/>
        <c:lblOffset val="100"/>
      </c:catAx>
      <c:valAx>
        <c:axId val="32274477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456305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35</c:v>
                </c:pt>
                <c:pt idx="1">
                  <c:v>37</c:v>
                </c:pt>
                <c:pt idx="2">
                  <c:v>33</c:v>
                </c:pt>
                <c:pt idx="3">
                  <c:v>30</c:v>
                </c:pt>
                <c:pt idx="4">
                  <c:v>38</c:v>
                </c:pt>
                <c:pt idx="5">
                  <c:v>41</c:v>
                </c:pt>
                <c:pt idx="6">
                  <c:v>32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33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45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219"/>
        <c:overlap val="0"/>
        <c:axId val="60048998"/>
        <c:axId val="21975968"/>
      </c:barChart>
      <c:catAx>
        <c:axId val="6004899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1975968"/>
        <c:crosses val="autoZero"/>
        <c:auto val="1"/>
        <c:lblAlgn val="ctr"/>
        <c:lblOffset val="100"/>
      </c:catAx>
      <c:valAx>
        <c:axId val="2197596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004899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90</c:v>
                </c:pt>
                <c:pt idx="1">
                  <c:v>112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26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41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gapWidth val="182"/>
        <c:overlap val="0"/>
        <c:axId val="83354993"/>
        <c:axId val="4461482"/>
      </c:barChart>
      <c:catAx>
        <c:axId val="8335499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461482"/>
        <c:crosses val="autoZero"/>
        <c:auto val="1"/>
        <c:lblAlgn val="ctr"/>
        <c:lblOffset val="100"/>
      </c:catAx>
      <c:valAx>
        <c:axId val="446148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335499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CFA0-18BC-44E3-A8A2-CE555F5E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</TotalTime>
  <Application>LibreOffice/6.0.5.2$Linux_X86_64 LibreOffice_project/00m0$Build-2</Application>
  <Pages>10</Pages>
  <Words>3125</Words>
  <Characters>19319</Characters>
  <CharactersWithSpaces>22456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Пользователь</dc:creator>
  <dc:description/>
  <dc:language>ru-RU</dc:language>
  <cp:lastModifiedBy/>
  <cp:lastPrinted>2021-09-13T06:38:00Z</cp:lastPrinted>
  <dcterms:modified xsi:type="dcterms:W3CDTF">2021-09-19T23:41:37Z</dcterms:modified>
  <cp:revision>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